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28D2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 w14:paraId="6D0E7A6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  <w:u w:val="none"/>
        </w:rPr>
      </w:pPr>
      <w:bookmarkStart w:id="0" w:name="_Hlk3455429"/>
    </w:p>
    <w:p w14:paraId="2028EE3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</w:rPr>
        <w:t>乡村振兴人才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  <w:shd w:val="clear" w:color="auto" w:fill="FFFFFF"/>
        </w:rPr>
        <w:t>职称晋升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  <w:shd w:val="clear" w:color="auto" w:fill="FFFFFF"/>
          <w:lang w:val="en-US" w:eastAsia="zh-CN"/>
        </w:rPr>
        <w:t>支持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  <w:shd w:val="clear" w:color="auto" w:fill="FFFFFF"/>
        </w:rPr>
        <w:t>政策</w:t>
      </w:r>
    </w:p>
    <w:p w14:paraId="5322832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 w14:paraId="4BBFBC9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一、乡村振兴人才职称晋升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支持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政策</w:t>
      </w:r>
    </w:p>
    <w:p w14:paraId="38C7E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本条乡村振兴人才包括我市国家（略阳县、镇巴县）和省级（西乡县、洋县、宁强县）乡村振兴重点帮扶县（以下简称“重点帮扶县”）和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全市乡镇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的专业技术人才和技能人才。乡村振兴人才</w:t>
      </w:r>
      <w:bookmarkStart w:id="1" w:name="_Hlk117765120"/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在重点帮扶县或乡镇工作满2年</w:t>
      </w:r>
      <w:bookmarkEnd w:id="1"/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且在职在岗，享受以下职称晋升支持政策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3E0DD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（一）评价突出乡村振兴业绩贡献</w:t>
      </w:r>
    </w:p>
    <w:p w14:paraId="1465426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1.加大乡村振兴业绩评价权重。坚决破除“四唯”倾向，科学设置更加符合乡村振兴人才工作实际和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特点的评价标准，重点考察其扎根乡村工作年限、履行岗位职责日常工作成效、促进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bidi="ar"/>
        </w:rPr>
        <w:t>乡村振兴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业绩贡献等。</w:t>
      </w:r>
    </w:p>
    <w:p w14:paraId="3F93D25C">
      <w:pPr>
        <w:keepNext w:val="0"/>
        <w:keepLines w:val="0"/>
        <w:pageBreakBefore w:val="0"/>
        <w:widowControl w:val="0"/>
        <w:tabs>
          <w:tab w:val="left" w:pos="5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2.淡化论文、科研成果要求。</w:t>
      </w:r>
      <w:bookmarkStart w:id="2" w:name="_Hlk117765476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乡村振兴人才</w:t>
      </w:r>
      <w:bookmarkEnd w:id="2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参加中级职称评审，对论文、科研成果不作要求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参加副高级职称评审，对论文、科研成果不作硬性要求，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等量提供能够体现其能力与业绩的技术标准、技术方案、技术推广总结、专题报告、发展规划、试验报告、项目验收报告、技术（产品）研发、发明专利等替代论文或科研成果。</w:t>
      </w:r>
    </w:p>
    <w:p w14:paraId="6FE275E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shd w:val="clear" w:color="auto" w:fill="FFFFFF"/>
        </w:rPr>
        <w:t>（二）放宽学历资历条件</w:t>
      </w:r>
    </w:p>
    <w:p w14:paraId="56F4B6DE">
      <w:pPr>
        <w:keepNext w:val="0"/>
        <w:keepLines w:val="0"/>
        <w:pageBreakBefore w:val="0"/>
        <w:widowControl w:val="0"/>
        <w:tabs>
          <w:tab w:val="left" w:pos="5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1.乡村振兴人才参加中级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级职称评审，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任职期内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取得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1次年度考核优秀，任职年限可减少1年提前申报，有专业技术工作年限要求的同时可减少3年提前申报。</w:t>
      </w:r>
    </w:p>
    <w:p w14:paraId="02559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</w:t>
      </w:r>
      <w:bookmarkStart w:id="3" w:name="_Hlk117782429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乡村振兴人才</w:t>
      </w:r>
      <w:bookmarkEnd w:id="3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在专业技术岗位工作，具有教育行政部门认可的学历，原所学专业和现从事专业不一致，但能够胜任现岗位工作，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作业绩突出，近3年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取得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1次年度考核优秀，并符合其他评审条件，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参加所从事专业的职称评审。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highlight w:val="none"/>
          <w:shd w:val="clear" w:color="auto" w:fill="FFFFFF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highlight w:val="none"/>
          <w:shd w:val="clear" w:color="auto" w:fill="FFFFFF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highlight w:val="none"/>
        </w:rPr>
        <w:t>作出突出贡献的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乡村振兴人才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highlight w:val="none"/>
          <w:shd w:val="clear" w:color="auto" w:fill="FFFFFF"/>
        </w:rPr>
        <w:t>破格评审</w:t>
      </w:r>
    </w:p>
    <w:p w14:paraId="2276BF46">
      <w:pPr>
        <w:keepNext w:val="0"/>
        <w:keepLines w:val="0"/>
        <w:pageBreakBefore w:val="0"/>
        <w:widowControl w:val="0"/>
        <w:tabs>
          <w:tab w:val="left" w:pos="5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1.乡村振兴人才工作业绩突出，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市委市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政府或省级部门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及以上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表彰，任职期内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取得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1次年度考核优秀，参加高级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职称评审，任职年限可减少1年提前申报(各类表彰不累加计算)。</w:t>
      </w:r>
    </w:p>
    <w:p w14:paraId="11A7F61C">
      <w:pPr>
        <w:keepNext w:val="0"/>
        <w:keepLines w:val="0"/>
        <w:pageBreakBefore w:val="0"/>
        <w:widowControl w:val="0"/>
        <w:tabs>
          <w:tab w:val="left" w:pos="5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2.乡村振兴人才专业工作贡献突出，获省、部级科技奖励的前3名完成人，任职期内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取得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1次年度考核优秀，可不受学历、任职年限限制，破格参加高一级职称评审。</w:t>
      </w:r>
    </w:p>
    <w:p w14:paraId="41ACEFB1">
      <w:pPr>
        <w:keepNext w:val="0"/>
        <w:keepLines w:val="0"/>
        <w:pageBreakBefore w:val="0"/>
        <w:widowControl w:val="0"/>
        <w:tabs>
          <w:tab w:val="left" w:pos="5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3.乡村振兴人才在乡村振兴工作中作出重大贡献，受到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省委省政府或国家部委及以上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关于乡村振兴工作表彰，符合其他申报条件，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不受学历、任职年限、单位岗位职数限制，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直接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申报考核认定高级职称。具有初级、中级职称人员可申报副高级职称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3B2F0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鼓励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激励城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FFFFFF"/>
          <w:lang w:val="en-US" w:eastAsia="zh-CN"/>
        </w:rPr>
        <w:t>市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专业技术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  <w:t>人才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FFFFFF"/>
          <w:lang w:val="en-US" w:eastAsia="zh-CN"/>
        </w:rPr>
        <w:t>服务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  <w:t>乡村振兴</w:t>
      </w:r>
    </w:p>
    <w:p w14:paraId="2F590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推动国有企业与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重点帮扶县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和乡村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企事业单位建立“一对一”“一对多”帮扶关系。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鼓励各类专业技术人才到乡村和涉农企业创新创业，充分保障其在乡村工作期间职称评聘各项权益。支持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专业技术人才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通过选派挂职、对口支援、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专家服务、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短期工作、项目合作、兼职等方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式助力乡村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兴。支持专业技术人才积极参与村庄规划和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村项目建设。以上人员在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重点帮扶县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乡村工作期间职称任职时间连续计算；在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重点帮扶县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乡村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工作时间累计超过半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年的视为基层工作经历；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乡村振兴工作经历和业绩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作为优先推荐职称评审、岗位聘用的重要依据。</w:t>
      </w:r>
    </w:p>
    <w:p w14:paraId="1401D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专业技术人才任现职期间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符合下列条件之一，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可提前1年申报职称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</w:p>
    <w:p w14:paraId="00961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1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highlight w:val="none"/>
        </w:rPr>
        <w:t>在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highlight w:val="none"/>
        </w:rPr>
        <w:t>重点帮扶县</w:t>
      </w:r>
      <w:r>
        <w:rPr>
          <w:rFonts w:hint="default" w:ascii="Times New Roman" w:hAnsi="Times New Roman" w:eastAsia="仿宋_GB2312" w:cs="Times New Roman"/>
          <w:b/>
          <w:bCs/>
          <w:spacing w:val="-6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>和</w:t>
      </w:r>
      <w:r>
        <w:rPr>
          <w:rFonts w:hint="default" w:ascii="Times New Roman" w:hAnsi="Times New Roman" w:eastAsia="仿宋_GB2312" w:cs="Times New Roman"/>
          <w:b/>
          <w:bCs/>
          <w:spacing w:val="-6"/>
          <w:kern w:val="0"/>
          <w:sz w:val="32"/>
          <w:szCs w:val="32"/>
          <w:highlight w:val="none"/>
          <w:u w:val="none"/>
        </w:rPr>
        <w:t>乡村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highlight w:val="none"/>
        </w:rPr>
        <w:t>工作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highlight w:val="none"/>
        </w:rPr>
        <w:t>满3年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取得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1次年度考核优秀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lang w:eastAsia="zh-CN"/>
        </w:rPr>
        <w:t>；</w:t>
      </w:r>
    </w:p>
    <w:p w14:paraId="1987C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重点帮扶县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>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u w:val="none"/>
        </w:rPr>
        <w:t>乡村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企事业单位建立3年及以上支援服务关系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每年在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重点帮扶县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>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u w:val="none"/>
        </w:rPr>
        <w:t>乡村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工作180天以上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并取得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1次年度考核优秀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；</w:t>
      </w:r>
    </w:p>
    <w:p w14:paraId="636E1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乡村振兴工作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成绩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受到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市委市政府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省级部门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及以上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表彰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取得2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次年度考核优秀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。</w:t>
      </w:r>
    </w:p>
    <w:p w14:paraId="66743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专业技术人才受到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省委省政府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国家部委及以上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关于乡村振兴工作方面表彰，符合其他申报条件，可不受学历、任职年限、单位岗位职数限制，免除服务基层要求，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直接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申报高一级职称评审。</w:t>
      </w:r>
    </w:p>
    <w:p w14:paraId="469DB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bidi="ar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 w:bidi="ar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bidi="ar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激励驻村专业技术人才。全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专业技术人才任现职期间作为驻村第一书记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工作队成员全职完成驻村工作，乡村振兴工作业绩可作为职称晋升、岗位优先聘用的重要依据。完成驻村工作满2年，参加职称评审，减免1项科研成果或1篇论文，</w:t>
      </w:r>
      <w:bookmarkStart w:id="4" w:name="_Hlk118296679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免除</w:t>
      </w:r>
      <w:bookmarkEnd w:id="4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驻村期间继续教育学时要求，免除服务基层要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求。完成驻村工作满3年，对科研成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果、论文不作要求，免除驻村期间继续教育学时要求，免除服务基层要求，并且评审时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量化得分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给予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个人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总分值10%的加分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006B9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有关事项说明</w:t>
      </w:r>
    </w:p>
    <w:p w14:paraId="0D29F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cyan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（一）国家对职业准入有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明确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要求的专业，专业技术人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应当具备相应的职业资格。国家实行“以考代评”和“考评结合”的系列（专业），须参加国家考试并成绩合格后享受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政策。</w:t>
      </w:r>
    </w:p>
    <w:p w14:paraId="6C13432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（二）国家职业准入对学历有明确要求的专业，按国家规定执行。</w:t>
      </w:r>
    </w:p>
    <w:p w14:paraId="0820881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）本通知中的“乡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镇”含乡镇撤并后的农村社区，不含街道。</w:t>
      </w:r>
    </w:p>
    <w:p w14:paraId="74A26F00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乡村振兴工作业绩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需提供在乡村振兴帮扶镇、村工作中，做出的具体工作情况，需提供组织部门的工作鉴定、年度工作总结、工作日志、主持或参与镇、村产业项目规划、发展、实施等具体工作印证文字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图片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材料。</w:t>
      </w:r>
    </w:p>
    <w:p w14:paraId="675D27FB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pacing w:line="560" w:lineRule="exact"/>
        <w:ind w:right="25" w:rightChars="12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7C4EC800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15850C37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51D4B66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E958AF8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2E8E762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F15C1A5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73BC6407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9EC4747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bookmarkEnd w:id="0"/>
    <w:p w14:paraId="401E04D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D10D2">
    <w:pPr>
      <w:pStyle w:val="4"/>
    </w:pPr>
    <w:bookmarkStart w:id="5" w:name="_GoBack"/>
    <w:bookmarkEnd w:id="5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F69C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DF69C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B39F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45187"/>
    <w:rsid w:val="25C40AFC"/>
    <w:rsid w:val="2EB536D8"/>
    <w:rsid w:val="4A3E05CE"/>
    <w:rsid w:val="4A9C356A"/>
    <w:rsid w:val="63A86D8C"/>
    <w:rsid w:val="67C92A3F"/>
    <w:rsid w:val="7B3D3E06"/>
    <w:rsid w:val="7B94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sz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1825</Words>
  <Characters>1840</Characters>
  <Lines>0</Lines>
  <Paragraphs>0</Paragraphs>
  <TotalTime>0</TotalTime>
  <ScaleCrop>false</ScaleCrop>
  <LinksUpToDate>false</LinksUpToDate>
  <CharactersWithSpaces>1843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2025-07-29T07:53:00Z</dcterms:created>
  <dc:creator>LT</dc:creator>
  <cp:lastModifiedBy>木丹</cp:lastModifiedBy>
  <dcterms:modified xsi:type="dcterms:W3CDTF">2026-06-24T07:22:30Z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1770593BB3824B47B64B71A10046262E_11</vt:lpwstr>
  </property>
  <property fmtid="{D5CDD505-2E9C-101B-9397-08002B2CF9AE}" pid="4" name="KSOTemplateDocerSaveRecord">
    <vt:lpwstr>eyJoZGlkIjoiNzA2YTI3YjZkMTI0OWRmOWM5N2M5Zjk4OTM2YzQxN2YiLCJ1c2VySWQiOiIxMTc1MjkwMjM4In0=</vt:lpwstr>
  </property>
</Properties>
</file>