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028D2D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6</w:t>
      </w:r>
    </w:p>
    <w:p w14:paraId="6D0E7A66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default" w:ascii="Times New Roman" w:hAnsi="Times New Roman" w:eastAsia="微软雅黑" w:cs="Times New Roman"/>
          <w:b w:val="0"/>
          <w:bCs w:val="0"/>
          <w:sz w:val="44"/>
          <w:szCs w:val="44"/>
          <w:u w:val="none"/>
        </w:rPr>
      </w:pPr>
      <w:bookmarkStart w:id="0" w:name="_Hlk3455429"/>
    </w:p>
    <w:p w14:paraId="2028EE3A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u w:val="none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u w:val="none"/>
        </w:rPr>
        <w:t>乡村振兴人才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u w:val="none"/>
          <w:shd w:val="clear" w:color="auto" w:fill="FFFFFF"/>
        </w:rPr>
        <w:t>职称晋升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u w:val="none"/>
          <w:shd w:val="clear" w:color="auto" w:fill="FFFFFF"/>
          <w:lang w:val="en-US" w:eastAsia="zh-CN"/>
        </w:rPr>
        <w:t>支持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u w:val="none"/>
          <w:shd w:val="clear" w:color="auto" w:fill="FFFFFF"/>
        </w:rPr>
        <w:t>政策</w:t>
      </w:r>
    </w:p>
    <w:p w14:paraId="5322832A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outlineLvl w:val="9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</w:p>
    <w:p w14:paraId="4BBFBC9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0" w:firstLineChars="20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一、乡村振兴人才职称晋升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支持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政策</w:t>
      </w:r>
    </w:p>
    <w:p w14:paraId="38C7EA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-SA"/>
        </w:rPr>
        <w:t>本条乡村振兴人才包括我市国家（略阳县、镇巴县）和省级（西乡县、洋县、宁强县）乡村振兴重点帮扶县（以下简称“重点帮扶县”）和</w:t>
      </w: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highlight w:val="none"/>
          <w:lang w:val="en-US" w:eastAsia="zh-CN" w:bidi="ar-SA"/>
        </w:rPr>
        <w:t>全市乡镇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-SA"/>
        </w:rPr>
        <w:t>的专业技术人才和技能人才。乡村振兴人才</w:t>
      </w:r>
      <w:bookmarkStart w:id="1" w:name="_Hlk117765120"/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-SA"/>
        </w:rPr>
        <w:t>在重点帮扶县或乡镇工作满2年</w:t>
      </w:r>
      <w:bookmarkEnd w:id="1"/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-SA"/>
        </w:rPr>
        <w:t>且在职在岗，享受以下职称晋升支持政策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。</w:t>
      </w:r>
    </w:p>
    <w:p w14:paraId="3E0DD6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outlineLvl w:val="9"/>
        <w:rPr>
          <w:rFonts w:hint="default" w:ascii="Times New Roman" w:hAnsi="Times New Roman" w:eastAsia="楷体" w:cs="Times New Roman"/>
          <w:b w:val="0"/>
          <w:bCs w:val="0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楷体" w:cs="Times New Roman"/>
          <w:b w:val="0"/>
          <w:bCs w:val="0"/>
          <w:color w:val="auto"/>
          <w:sz w:val="32"/>
          <w:szCs w:val="32"/>
          <w:highlight w:val="none"/>
          <w:shd w:val="clear" w:color="auto" w:fill="FFFFFF"/>
        </w:rPr>
        <w:t>（一）评价突出乡村振兴业绩贡献</w:t>
      </w:r>
    </w:p>
    <w:p w14:paraId="1465426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1.加大乡村振兴业绩评价权重。坚决破除“四唯”倾向，科学设置更加符合乡村振兴人才工作实际和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特点的评价标准，重点考察其扎根乡村工作年限、履行岗位职责日常工作成效、促进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bidi="ar"/>
        </w:rPr>
        <w:t>乡村振兴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业绩贡献等。</w:t>
      </w:r>
    </w:p>
    <w:p w14:paraId="3F93D25C">
      <w:pPr>
        <w:keepNext w:val="0"/>
        <w:keepLines w:val="0"/>
        <w:pageBreakBefore w:val="0"/>
        <w:widowControl w:val="0"/>
        <w:tabs>
          <w:tab w:val="left" w:pos="58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2.淡化论文、科研成果要求。</w:t>
      </w:r>
      <w:bookmarkStart w:id="2" w:name="_Hlk117765476"/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乡村振兴人才</w:t>
      </w:r>
      <w:bookmarkEnd w:id="2"/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参加中级职称评审，对论文、科研成果不作要求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参加副高级职称评审，对论文、科研成果不作硬性要求，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可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等量提供能够体现其能力与业绩的技术标准、技术方案、技术推广总结、专题报告、发展规划、试验报告、项目验收报告、技术（产品）研发、发明专利等替代论文或科研成果。</w:t>
      </w:r>
    </w:p>
    <w:p w14:paraId="6FE275EC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0" w:firstLineChars="200"/>
        <w:jc w:val="left"/>
        <w:textAlignment w:val="auto"/>
        <w:outlineLvl w:val="9"/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（二）放宽学历资历条件</w:t>
      </w:r>
    </w:p>
    <w:p w14:paraId="56F4B6DE">
      <w:pPr>
        <w:keepNext w:val="0"/>
        <w:keepLines w:val="0"/>
        <w:pageBreakBefore w:val="0"/>
        <w:widowControl w:val="0"/>
        <w:tabs>
          <w:tab w:val="left" w:pos="58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1.乡村振兴人才参加中级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副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高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级职称评审，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u w:val="none"/>
        </w:rPr>
        <w:t>任职期内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取得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1次年度考核优秀，任职年限可减少1年提前申报，有专业技术工作年限要求的同时可减少3年提前申报。</w:t>
      </w:r>
    </w:p>
    <w:p w14:paraId="02559D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outlineLvl w:val="9"/>
        <w:rPr>
          <w:rFonts w:hint="default" w:ascii="Times New Roman" w:hAnsi="Times New Roman" w:eastAsia="楷体_GB2312" w:cs="Times New Roman"/>
          <w:b w:val="0"/>
          <w:bCs w:val="0"/>
          <w:spacing w:val="-6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2.</w:t>
      </w:r>
      <w:bookmarkStart w:id="3" w:name="_Hlk117782429"/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乡村振兴人才</w:t>
      </w:r>
      <w:bookmarkEnd w:id="3"/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在专业技术岗位工作，具有教育行政部门认可的学历，原所学专业和现从事专业不一致，但能够胜任现岗位工作，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工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作业绩突出，近3年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取得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1次年度考核优秀，并符合其他评审条件，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可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参加所从事专业的职称评审。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br w:type="textWrapping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default" w:ascii="Times New Roman" w:hAnsi="Times New Roman" w:eastAsia="楷体_GB2312" w:cs="Times New Roman"/>
          <w:b w:val="0"/>
          <w:bCs w:val="0"/>
          <w:spacing w:val="-6"/>
          <w:sz w:val="32"/>
          <w:szCs w:val="32"/>
          <w:highlight w:val="none"/>
          <w:shd w:val="clear" w:color="auto" w:fill="FFFFFF"/>
        </w:rPr>
        <w:t>（</w:t>
      </w:r>
      <w:r>
        <w:rPr>
          <w:rFonts w:hint="default" w:ascii="Times New Roman" w:hAnsi="Times New Roman" w:eastAsia="楷体_GB2312" w:cs="Times New Roman"/>
          <w:b w:val="0"/>
          <w:bCs w:val="0"/>
          <w:spacing w:val="-6"/>
          <w:sz w:val="32"/>
          <w:szCs w:val="32"/>
          <w:highlight w:val="none"/>
          <w:shd w:val="clear" w:color="auto" w:fill="FFFFFF"/>
          <w:lang w:val="en-US" w:eastAsia="zh-CN"/>
        </w:rPr>
        <w:t>三</w:t>
      </w:r>
      <w:r>
        <w:rPr>
          <w:rFonts w:hint="default" w:ascii="Times New Roman" w:hAnsi="Times New Roman" w:eastAsia="楷体_GB2312" w:cs="Times New Roman"/>
          <w:b w:val="0"/>
          <w:bCs w:val="0"/>
          <w:spacing w:val="-6"/>
          <w:sz w:val="32"/>
          <w:szCs w:val="32"/>
          <w:highlight w:val="none"/>
          <w:shd w:val="clear" w:color="auto" w:fill="FFFFFF"/>
        </w:rPr>
        <w:t>）</w:t>
      </w:r>
      <w:r>
        <w:rPr>
          <w:rFonts w:hint="default" w:ascii="Times New Roman" w:hAnsi="Times New Roman" w:eastAsia="楷体_GB2312" w:cs="Times New Roman"/>
          <w:b w:val="0"/>
          <w:bCs w:val="0"/>
          <w:kern w:val="0"/>
          <w:sz w:val="32"/>
          <w:szCs w:val="32"/>
          <w:highlight w:val="none"/>
        </w:rPr>
        <w:t>作出突出贡献的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highlight w:val="none"/>
        </w:rPr>
        <w:t>乡村振兴人才</w:t>
      </w:r>
      <w:r>
        <w:rPr>
          <w:rFonts w:hint="default" w:ascii="Times New Roman" w:hAnsi="Times New Roman" w:eastAsia="楷体_GB2312" w:cs="Times New Roman"/>
          <w:b w:val="0"/>
          <w:bCs w:val="0"/>
          <w:spacing w:val="-6"/>
          <w:sz w:val="32"/>
          <w:szCs w:val="32"/>
          <w:highlight w:val="none"/>
          <w:shd w:val="clear" w:color="auto" w:fill="FFFFFF"/>
        </w:rPr>
        <w:t>破格评审</w:t>
      </w:r>
    </w:p>
    <w:p w14:paraId="2276BF46">
      <w:pPr>
        <w:keepNext w:val="0"/>
        <w:keepLines w:val="0"/>
        <w:pageBreakBefore w:val="0"/>
        <w:widowControl w:val="0"/>
        <w:tabs>
          <w:tab w:val="left" w:pos="58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1.乡村振兴人才工作业绩突出，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获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市委市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政府或省级部门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及以上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表彰，任职期内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取得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1次年度考核优秀，参加高级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职称评审，任职年限可减少1年提前申报(各类表彰不累加计算)。</w:t>
      </w:r>
    </w:p>
    <w:p w14:paraId="11A7F61C">
      <w:pPr>
        <w:keepNext w:val="0"/>
        <w:keepLines w:val="0"/>
        <w:pageBreakBefore w:val="0"/>
        <w:widowControl w:val="0"/>
        <w:tabs>
          <w:tab w:val="left" w:pos="58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2.乡村振兴人才专业工作贡献突出，获省、部级科技奖励的前3名完成人，任职期内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取得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1次年度考核优秀，可不受学历、任职年限限制，破格参加高一级职称评审。</w:t>
      </w:r>
    </w:p>
    <w:p w14:paraId="41ACEFB1">
      <w:pPr>
        <w:keepNext w:val="0"/>
        <w:keepLines w:val="0"/>
        <w:pageBreakBefore w:val="0"/>
        <w:widowControl w:val="0"/>
        <w:tabs>
          <w:tab w:val="left" w:pos="58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3.乡村振兴人才在乡村振兴工作中作出重大贡献，受到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省委省政府或国家部委及以上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关于乡村振兴工作表彰，符合其他申报条件，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可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不受学历、任职年限、单位岗位职数限制，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直接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申报考核认定高级职称。具有初级、中级职称人员可申报副高级职称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。</w:t>
      </w:r>
    </w:p>
    <w:p w14:paraId="3B2F0C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</w:rPr>
        <w:t>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shd w:val="clear" w:color="auto" w:fill="FFFFFF"/>
        </w:rPr>
        <w:t>鼓励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激励城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shd w:val="clear" w:color="auto" w:fill="FFFFFF"/>
          <w:lang w:val="en-US" w:eastAsia="zh-CN"/>
        </w:rPr>
        <w:t>市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  <w:shd w:val="clear" w:color="auto" w:fill="FFFFFF"/>
          <w:lang w:bidi="ar"/>
        </w:rPr>
        <w:t>专业技术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shd w:val="clear" w:color="auto" w:fill="FFFFFF"/>
        </w:rPr>
        <w:t>人才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shd w:val="clear" w:color="auto" w:fill="FFFFFF"/>
          <w:lang w:val="en-US" w:eastAsia="zh-CN"/>
        </w:rPr>
        <w:t>服务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shd w:val="clear" w:color="auto" w:fill="FFFFFF"/>
        </w:rPr>
        <w:t>乡村振兴</w:t>
      </w:r>
    </w:p>
    <w:p w14:paraId="2F5908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shd w:val="clear" w:color="auto" w:fill="FFFFFF"/>
          <w:lang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shd w:val="clear" w:color="auto" w:fill="FFFFFF"/>
          <w:lang w:bidi="ar"/>
        </w:rPr>
        <w:t>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shd w:val="clear" w:color="auto" w:fill="FFFFFF"/>
          <w:lang w:bidi="ar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推动国有企业与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shd w:val="clear" w:color="auto" w:fill="FFFFFF"/>
          <w:lang w:bidi="ar"/>
        </w:rPr>
        <w:t>重点帮扶县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和乡村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企事业单位建立“一对一”“一对多”帮扶关系。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shd w:val="clear" w:color="auto" w:fill="FFFFFF"/>
          <w:lang w:bidi="ar"/>
        </w:rPr>
        <w:t>鼓励各类专业技术人才到乡村和涉农企业创新创业，充分保障其在乡村工作期间职称评聘各项权益。支持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专业技术人才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通过选派挂职、对口支援、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专家服务、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短期工作、项目合作、兼职等方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u w:val="none"/>
        </w:rPr>
        <w:t>式助力乡村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振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u w:val="none"/>
        </w:rPr>
        <w:t>兴。支持专业技术人才积极参与村庄规划和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u w:val="none"/>
          <w:lang w:val="en-US" w:eastAsia="zh-CN"/>
        </w:rPr>
        <w:t>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u w:val="none"/>
        </w:rPr>
        <w:t>村项目建设。以上人员在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shd w:val="clear" w:color="auto" w:fill="FFFFFF"/>
          <w:lang w:bidi="ar"/>
        </w:rPr>
        <w:t>重点帮扶县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u w:val="none"/>
        </w:rPr>
        <w:t>乡村工作期间职称任职时间连续计算；在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shd w:val="clear" w:color="auto" w:fill="FFFFFF"/>
          <w:lang w:bidi="ar"/>
        </w:rPr>
        <w:t>重点帮扶县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u w:val="none"/>
        </w:rPr>
        <w:t>乡村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工作时间累计超过半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年的视为基层工作经历；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乡村振兴工作经历和业绩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作为优先推荐职称评审、岗位聘用的重要依据。</w:t>
      </w:r>
    </w:p>
    <w:p w14:paraId="1401D5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专业技术人才任现职期间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符合下列条件之一，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可提前1年申报职称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：</w:t>
      </w:r>
    </w:p>
    <w:p w14:paraId="00961F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16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pacing w:val="-6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pacing w:val="-6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pacing w:val="-6"/>
          <w:kern w:val="0"/>
          <w:sz w:val="32"/>
          <w:szCs w:val="32"/>
          <w:highlight w:val="none"/>
        </w:rPr>
        <w:t>在</w:t>
      </w:r>
      <w:r>
        <w:rPr>
          <w:rFonts w:hint="default" w:ascii="Times New Roman" w:hAnsi="Times New Roman" w:eastAsia="仿宋_GB2312" w:cs="Times New Roman"/>
          <w:b/>
          <w:bCs/>
          <w:spacing w:val="-6"/>
          <w:sz w:val="32"/>
          <w:szCs w:val="32"/>
          <w:highlight w:val="none"/>
        </w:rPr>
        <w:t>重点帮扶县</w:t>
      </w:r>
      <w:r>
        <w:rPr>
          <w:rFonts w:hint="default" w:ascii="Times New Roman" w:hAnsi="Times New Roman" w:eastAsia="仿宋_GB2312" w:cs="Times New Roman"/>
          <w:b/>
          <w:bCs/>
          <w:spacing w:val="-6"/>
          <w:kern w:val="0"/>
          <w:sz w:val="32"/>
          <w:szCs w:val="32"/>
          <w:highlight w:val="none"/>
          <w:u w:val="single"/>
          <w:shd w:val="clear" w:color="auto" w:fill="FFFFFF"/>
          <w:lang w:val="en-US" w:eastAsia="zh-CN" w:bidi="ar"/>
        </w:rPr>
        <w:t>和</w:t>
      </w:r>
      <w:r>
        <w:rPr>
          <w:rFonts w:hint="default" w:ascii="Times New Roman" w:hAnsi="Times New Roman" w:eastAsia="仿宋_GB2312" w:cs="Times New Roman"/>
          <w:b/>
          <w:bCs/>
          <w:spacing w:val="-6"/>
          <w:kern w:val="0"/>
          <w:sz w:val="32"/>
          <w:szCs w:val="32"/>
          <w:highlight w:val="none"/>
          <w:u w:val="none"/>
        </w:rPr>
        <w:t>乡村</w:t>
      </w:r>
      <w:r>
        <w:rPr>
          <w:rFonts w:hint="default" w:ascii="Times New Roman" w:hAnsi="Times New Roman" w:eastAsia="仿宋_GB2312" w:cs="Times New Roman"/>
          <w:b/>
          <w:bCs/>
          <w:spacing w:val="-6"/>
          <w:sz w:val="32"/>
          <w:szCs w:val="32"/>
          <w:highlight w:val="none"/>
        </w:rPr>
        <w:t>工作</w:t>
      </w:r>
      <w:r>
        <w:rPr>
          <w:rFonts w:hint="default" w:ascii="Times New Roman" w:hAnsi="Times New Roman" w:eastAsia="仿宋_GB2312" w:cs="Times New Roman"/>
          <w:spacing w:val="-6"/>
          <w:kern w:val="0"/>
          <w:sz w:val="32"/>
          <w:szCs w:val="32"/>
          <w:highlight w:val="none"/>
        </w:rPr>
        <w:t>满3年</w:t>
      </w:r>
      <w:r>
        <w:rPr>
          <w:rFonts w:hint="default" w:ascii="Times New Roman" w:hAnsi="Times New Roman" w:eastAsia="仿宋_GB2312" w:cs="Times New Roman"/>
          <w:spacing w:val="-6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6"/>
          <w:kern w:val="0"/>
          <w:sz w:val="32"/>
          <w:szCs w:val="32"/>
          <w:highlight w:val="none"/>
          <w:lang w:val="en-US" w:eastAsia="zh-CN"/>
        </w:rPr>
        <w:t>并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highlight w:val="none"/>
          <w:lang w:val="en-US" w:eastAsia="zh-CN"/>
        </w:rPr>
        <w:t>取得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highlight w:val="none"/>
        </w:rPr>
        <w:t>1次年度考核优秀</w:t>
      </w:r>
      <w:r>
        <w:rPr>
          <w:rFonts w:hint="default" w:ascii="Times New Roman" w:hAnsi="Times New Roman" w:eastAsia="仿宋_GB2312" w:cs="Times New Roman"/>
          <w:spacing w:val="-6"/>
          <w:kern w:val="0"/>
          <w:sz w:val="32"/>
          <w:szCs w:val="32"/>
          <w:highlight w:val="none"/>
          <w:lang w:eastAsia="zh-CN"/>
        </w:rPr>
        <w:t>；</w:t>
      </w:r>
    </w:p>
    <w:p w14:paraId="1987C6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与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</w:rPr>
        <w:t>重点帮扶县</w:t>
      </w: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highlight w:val="none"/>
          <w:u w:val="single"/>
          <w:shd w:val="clear" w:color="auto" w:fill="FFFFFF"/>
          <w:lang w:val="en-US" w:eastAsia="zh-CN" w:bidi="ar"/>
        </w:rPr>
        <w:t>和</w:t>
      </w: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highlight w:val="none"/>
          <w:u w:val="none"/>
        </w:rPr>
        <w:t>乡村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企事业单位建立3年及以上支援服务关系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每年在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</w:rPr>
        <w:t>重点帮扶县</w:t>
      </w: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highlight w:val="none"/>
          <w:u w:val="single"/>
          <w:shd w:val="clear" w:color="auto" w:fill="FFFFFF"/>
          <w:lang w:val="en-US" w:eastAsia="zh-CN" w:bidi="ar"/>
        </w:rPr>
        <w:t>和</w:t>
      </w: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highlight w:val="none"/>
          <w:u w:val="none"/>
        </w:rPr>
        <w:t>乡村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工作180天以上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并取得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1次年度考核优秀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；</w:t>
      </w:r>
    </w:p>
    <w:p w14:paraId="636E1F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乡村振兴工作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成绩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受到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市委市政府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或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省级部门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及以上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表彰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u w:val="none"/>
          <w:lang w:val="en-US" w:eastAsia="zh-CN"/>
        </w:rPr>
        <w:t>并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取得2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次年度考核优秀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u w:val="none"/>
        </w:rPr>
        <w:t>。</w:t>
      </w:r>
    </w:p>
    <w:p w14:paraId="66743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shd w:val="clear" w:color="auto" w:fill="FFFFFF"/>
          <w:lang w:bidi="ar"/>
        </w:rPr>
        <w:t>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shd w:val="clear" w:color="auto" w:fill="FFFFFF"/>
          <w:lang w:bidi="ar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专业技术人才受到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省委省政府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或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国家部委及以上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关于乡村振兴工作方面表彰，符合其他申报条件，可不受学历、任职年限、单位岗位职数限制，免除服务基层要求，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直接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申报高一级职称评审。</w:t>
      </w:r>
    </w:p>
    <w:p w14:paraId="469DB9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bidi="ar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val="en-US" w:eastAsia="zh-CN" w:bidi="ar"/>
        </w:rPr>
        <w:t>四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bidi="ar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激励驻村专业技术人才。全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专业技术人才任现职期间作为驻村第一书记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或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工作队成员全职完成驻村工作，乡村振兴工作业绩可作为职称晋升、岗位优先聘用的重要依据。完成驻村工作满2年，参加职称评审，减免1项科研成果或1篇论文，</w:t>
      </w:r>
      <w:bookmarkStart w:id="4" w:name="_Hlk118296679"/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免除</w:t>
      </w:r>
      <w:bookmarkEnd w:id="4"/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驻村期间继续教育学时要求，免除服务基层要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求。完成驻村工作满3年，对科研成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果、论文不作要求，免除驻村期间继续教育学时要求，免除服务基层要求，并且评审时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量化得分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给予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个人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总分值10%的加分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。</w:t>
      </w:r>
    </w:p>
    <w:p w14:paraId="006B9F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三、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有关事项说明</w:t>
      </w:r>
    </w:p>
    <w:p w14:paraId="0D29F2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cyan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（一）国家对职业准入有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明确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要求的专业，专业技术人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才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应当具备相应的职业资格。国家实行“以考代评”和“考评结合”的系列（专业），须参加国家考试并成绩合格后享受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支持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政策。</w:t>
      </w:r>
    </w:p>
    <w:p w14:paraId="6C13432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（二）国家职业准入对学历有明确要求的专业，按国家规定执行。</w:t>
      </w:r>
    </w:p>
    <w:p w14:paraId="08208819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）本通知中的“乡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镇”含乡镇撤并后的农村社区，不含街道。</w:t>
      </w:r>
    </w:p>
    <w:p w14:paraId="74A26F00">
      <w:pPr>
        <w:pStyle w:val="3"/>
        <w:keepNext w:val="0"/>
        <w:keepLines w:val="0"/>
        <w:pageBreakBefore w:val="0"/>
        <w:kinsoku/>
        <w:overflowPunct/>
        <w:topLinePunct w:val="0"/>
        <w:bidi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（四）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乡村振兴工作业绩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需提供在乡村振兴帮扶镇、村工作中，做出的具体工作情况，需提供组织部门的工作鉴定、年度工作总结、工作日志、主持或参与镇、村产业项目规划、发展、实施等具体工作印证文字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图片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材料。</w:t>
      </w:r>
    </w:p>
    <w:p w14:paraId="675D27FB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pacing w:line="560" w:lineRule="exact"/>
        <w:ind w:right="25" w:rightChars="12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 w14:paraId="7C4EC800">
      <w:pPr>
        <w:pStyle w:val="3"/>
        <w:keepNext w:val="0"/>
        <w:keepLines w:val="0"/>
        <w:pageBreakBefore w:val="0"/>
        <w:kinsoku/>
        <w:overflowPunct/>
        <w:topLinePunct w:val="0"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 w14:paraId="15850C37">
      <w:pPr>
        <w:pStyle w:val="3"/>
        <w:keepNext w:val="0"/>
        <w:keepLines w:val="0"/>
        <w:pageBreakBefore w:val="0"/>
        <w:kinsoku/>
        <w:overflowPunct/>
        <w:topLinePunct w:val="0"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 w14:paraId="551D4B66">
      <w:pPr>
        <w:pStyle w:val="3"/>
        <w:keepNext w:val="0"/>
        <w:keepLines w:val="0"/>
        <w:pageBreakBefore w:val="0"/>
        <w:kinsoku/>
        <w:overflowPunct/>
        <w:topLinePunct w:val="0"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 w14:paraId="2E958AF8">
      <w:pPr>
        <w:pStyle w:val="3"/>
        <w:keepNext w:val="0"/>
        <w:keepLines w:val="0"/>
        <w:pageBreakBefore w:val="0"/>
        <w:kinsoku/>
        <w:overflowPunct/>
        <w:topLinePunct w:val="0"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 w14:paraId="22E8E762">
      <w:pPr>
        <w:pStyle w:val="3"/>
        <w:keepNext w:val="0"/>
        <w:keepLines w:val="0"/>
        <w:pageBreakBefore w:val="0"/>
        <w:kinsoku/>
        <w:overflowPunct/>
        <w:topLinePunct w:val="0"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 w14:paraId="3F15C1A5">
      <w:pPr>
        <w:pStyle w:val="3"/>
        <w:keepNext w:val="0"/>
        <w:keepLines w:val="0"/>
        <w:pageBreakBefore w:val="0"/>
        <w:kinsoku/>
        <w:overflowPunct/>
        <w:topLinePunct w:val="0"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 w14:paraId="73BC6407">
      <w:pPr>
        <w:pStyle w:val="3"/>
        <w:keepNext w:val="0"/>
        <w:keepLines w:val="0"/>
        <w:pageBreakBefore w:val="0"/>
        <w:kinsoku/>
        <w:overflowPunct/>
        <w:topLinePunct w:val="0"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 w14:paraId="09EC4747">
      <w:pPr>
        <w:pStyle w:val="3"/>
        <w:keepNext w:val="0"/>
        <w:keepLines w:val="0"/>
        <w:pageBreakBefore w:val="0"/>
        <w:kinsoku/>
        <w:overflowPunct/>
        <w:topLinePunct w:val="0"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bookmarkEnd w:id="0"/>
    <w:p w14:paraId="401E04DE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ED10D2">
    <w:pPr>
      <w:pStyle w:val="4"/>
    </w:pPr>
    <w:bookmarkStart w:id="5" w:name="_GoBack"/>
    <w:bookmarkEnd w:id="5"/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DF69C5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DF69C5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3B39FB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945187"/>
    <w:rsid w:val="25C40AFC"/>
    <w:rsid w:val="2EB536D8"/>
    <w:rsid w:val="4A3E05CE"/>
    <w:rsid w:val="4A9C356A"/>
    <w:rsid w:val="63A86D8C"/>
    <w:rsid w:val="67C92A3F"/>
    <w:rsid w:val="7B3D3E06"/>
    <w:rsid w:val="7B94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ordWrap w:val="0"/>
      <w:spacing w:before="0" w:after="160" w:line="240" w:lineRule="auto"/>
      <w:ind w:left="0"/>
      <w:jc w:val="both"/>
      <w:outlineLvl w:val="1"/>
    </w:pPr>
    <w:rPr>
      <w:sz w:val="21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1825</Words>
  <Characters>1840</Characters>
  <Lines>0</Lines>
  <Paragraphs>0</Paragraphs>
  <TotalTime>0</TotalTime>
  <ScaleCrop>false</ScaleCrop>
  <LinksUpToDate>false</LinksUpToDate>
  <CharactersWithSpaces>1843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2025-07-29T07:53:00Z</dcterms:created>
  <dc:creator>LT</dc:creator>
  <cp:lastModifiedBy>木丹</cp:lastModifiedBy>
  <dcterms:modified xsi:type="dcterms:W3CDTF">2026-06-24T07:22:30Z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1770593BB3824B47B64B71A10046262E_11</vt:lpwstr>
  </property>
  <property fmtid="{D5CDD505-2E9C-101B-9397-08002B2CF9AE}" pid="4" name="KSOTemplateDocerSaveRecord">
    <vt:lpwstr>eyJoZGlkIjoiNzA2YTI3YjZkMTI0OWRmOWM5N2M5Zjk4OTM2YzQxN2YiLCJ1c2VySWQiOiIxMTc1MjkwMjM4In0=</vt:lpwstr>
  </property>
</Properties>
</file>