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FB" w:rsidRDefault="00892EFB" w:rsidP="00892EFB">
      <w:pPr>
        <w:spacing w:line="520" w:lineRule="exact"/>
        <w:rPr>
          <w:rFonts w:ascii="黑体" w:eastAsia="黑体" w:hAnsi="黑体" w:cs="黑体" w:hint="eastAsia"/>
          <w:sz w:val="32"/>
          <w:szCs w:val="32"/>
        </w:rPr>
      </w:pPr>
      <w:r>
        <w:rPr>
          <w:rFonts w:ascii="黑体" w:eastAsia="黑体" w:hAnsi="黑体" w:cs="黑体" w:hint="eastAsia"/>
          <w:sz w:val="32"/>
          <w:szCs w:val="32"/>
        </w:rPr>
        <w:t>附件1</w:t>
      </w:r>
    </w:p>
    <w:p w:rsidR="00892EFB" w:rsidRDefault="00892EFB" w:rsidP="00892EFB">
      <w:pPr>
        <w:spacing w:line="5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基层评审倾斜政策</w:t>
      </w:r>
    </w:p>
    <w:p w:rsidR="00892EFB" w:rsidRDefault="00892EFB" w:rsidP="00892EFB">
      <w:pPr>
        <w:spacing w:line="520" w:lineRule="exact"/>
        <w:jc w:val="center"/>
        <w:rPr>
          <w:rFonts w:ascii="方正小标宋简体" w:eastAsia="方正小标宋简体" w:hAnsi="方正小标宋简体" w:cs="方正小标宋简体" w:hint="eastAsia"/>
          <w:sz w:val="44"/>
          <w:szCs w:val="44"/>
        </w:rPr>
      </w:pPr>
    </w:p>
    <w:p w:rsidR="00892EFB" w:rsidRDefault="00892EFB" w:rsidP="00892EFB">
      <w:pPr>
        <w:spacing w:line="520" w:lineRule="exact"/>
        <w:ind w:firstLineChars="200" w:firstLine="640"/>
        <w:rPr>
          <w:rFonts w:eastAsia="仿宋_GB2312" w:hAnsi="宋体" w:cs="宋体" w:hint="eastAsia"/>
          <w:kern w:val="0"/>
          <w:sz w:val="32"/>
          <w:szCs w:val="32"/>
        </w:rPr>
      </w:pPr>
      <w:r>
        <w:rPr>
          <w:rFonts w:eastAsia="仿宋_GB2312"/>
          <w:sz w:val="32"/>
          <w:szCs w:val="32"/>
        </w:rPr>
        <w:t>根据陕西省</w:t>
      </w:r>
      <w:proofErr w:type="gramStart"/>
      <w:r>
        <w:rPr>
          <w:rFonts w:eastAsia="仿宋_GB2312"/>
          <w:sz w:val="32"/>
          <w:szCs w:val="32"/>
        </w:rPr>
        <w:t>人社厅</w:t>
      </w:r>
      <w:proofErr w:type="gramEnd"/>
      <w:r>
        <w:rPr>
          <w:rFonts w:eastAsia="仿宋_GB2312"/>
          <w:sz w:val="32"/>
          <w:szCs w:val="32"/>
        </w:rPr>
        <w:t>《关于印发进一步改革完善基层专业技术人才职称工作的实施意见的通知》（陕</w:t>
      </w:r>
      <w:proofErr w:type="gramStart"/>
      <w:r>
        <w:rPr>
          <w:rFonts w:eastAsia="仿宋_GB2312"/>
          <w:sz w:val="32"/>
          <w:szCs w:val="32"/>
        </w:rPr>
        <w:t>人社发</w:t>
      </w:r>
      <w:proofErr w:type="gramEnd"/>
      <w:r>
        <w:rPr>
          <w:rFonts w:eastAsia="仿宋_GB2312"/>
          <w:sz w:val="32"/>
          <w:szCs w:val="32"/>
        </w:rPr>
        <w:t>〔</w:t>
      </w:r>
      <w:r>
        <w:rPr>
          <w:rFonts w:eastAsia="仿宋_GB2312"/>
          <w:sz w:val="32"/>
          <w:szCs w:val="32"/>
        </w:rPr>
        <w:t>2017</w:t>
      </w:r>
      <w:r>
        <w:rPr>
          <w:rFonts w:eastAsia="仿宋_GB2312"/>
          <w:sz w:val="32"/>
          <w:szCs w:val="32"/>
        </w:rPr>
        <w:t>〕</w:t>
      </w:r>
      <w:r>
        <w:rPr>
          <w:rFonts w:eastAsia="仿宋_GB2312"/>
          <w:sz w:val="32"/>
          <w:szCs w:val="32"/>
        </w:rPr>
        <w:t>47</w:t>
      </w:r>
      <w:r>
        <w:rPr>
          <w:rFonts w:eastAsia="仿宋_GB2312"/>
          <w:sz w:val="32"/>
          <w:szCs w:val="32"/>
        </w:rPr>
        <w:t>号）</w:t>
      </w:r>
      <w:r>
        <w:rPr>
          <w:rFonts w:eastAsia="仿宋_GB2312" w:hint="eastAsia"/>
          <w:sz w:val="32"/>
          <w:szCs w:val="32"/>
        </w:rPr>
        <w:t>，</w:t>
      </w:r>
      <w:r>
        <w:rPr>
          <w:rFonts w:ascii="仿宋_GB2312" w:eastAsia="仿宋_GB2312" w:hAnsi="仿宋_GB2312" w:cs="仿宋_GB2312" w:hint="eastAsia"/>
          <w:sz w:val="32"/>
          <w:szCs w:val="32"/>
        </w:rPr>
        <w:t>县以下（含县级）基层专业技术人员</w:t>
      </w:r>
      <w:r>
        <w:rPr>
          <w:rFonts w:eastAsia="仿宋_GB2312" w:hAnsi="宋体" w:cs="宋体" w:hint="eastAsia"/>
          <w:kern w:val="0"/>
          <w:sz w:val="32"/>
          <w:szCs w:val="32"/>
        </w:rPr>
        <w:t>参加高级工程师职称评审，对科研成果，论文条件不作硬性要求，可等量提供能够体现其能力与业绩的工作总结、</w:t>
      </w:r>
      <w:r>
        <w:rPr>
          <w:rFonts w:ascii="仿宋_GB2312" w:eastAsia="仿宋_GB2312" w:hAnsi="仿宋_GB2312" w:cs="仿宋_GB2312" w:hint="eastAsia"/>
          <w:sz w:val="32"/>
          <w:szCs w:val="32"/>
        </w:rPr>
        <w:t>技术推广总结、</w:t>
      </w:r>
      <w:r>
        <w:rPr>
          <w:rFonts w:eastAsia="仿宋_GB2312" w:hAnsi="宋体" w:cs="宋体" w:hint="eastAsia"/>
          <w:kern w:val="0"/>
          <w:sz w:val="32"/>
          <w:szCs w:val="32"/>
        </w:rPr>
        <w:t>项目报告、</w:t>
      </w:r>
      <w:r>
        <w:rPr>
          <w:rFonts w:ascii="仿宋_GB2312" w:eastAsia="仿宋_GB2312" w:hAnsi="仿宋_GB2312" w:cs="仿宋_GB2312" w:hint="eastAsia"/>
          <w:sz w:val="32"/>
          <w:szCs w:val="32"/>
        </w:rPr>
        <w:t>技术（产品）创新、</w:t>
      </w:r>
      <w:r>
        <w:rPr>
          <w:rFonts w:eastAsia="仿宋_GB2312" w:hAnsi="宋体" w:cs="宋体" w:hint="eastAsia"/>
          <w:kern w:val="0"/>
          <w:sz w:val="32"/>
          <w:szCs w:val="32"/>
        </w:rPr>
        <w:t>工程方案、设计文件、</w:t>
      </w:r>
      <w:r>
        <w:rPr>
          <w:rFonts w:ascii="仿宋_GB2312" w:eastAsia="仿宋_GB2312" w:hAnsi="仿宋_GB2312" w:cs="仿宋_GB2312" w:hint="eastAsia"/>
          <w:sz w:val="32"/>
          <w:szCs w:val="32"/>
        </w:rPr>
        <w:t>专利成果</w:t>
      </w:r>
      <w:r>
        <w:rPr>
          <w:rFonts w:eastAsia="仿宋_GB2312" w:hAnsi="宋体" w:cs="宋体" w:hint="eastAsia"/>
          <w:kern w:val="0"/>
          <w:sz w:val="32"/>
          <w:szCs w:val="32"/>
        </w:rPr>
        <w:t>等替代。</w:t>
      </w:r>
    </w:p>
    <w:p w:rsidR="00892EFB" w:rsidRDefault="00892EFB" w:rsidP="00892EFB">
      <w:pPr>
        <w:spacing w:line="520" w:lineRule="exact"/>
        <w:ind w:firstLineChars="200" w:firstLine="640"/>
        <w:jc w:val="left"/>
        <w:rPr>
          <w:rFonts w:eastAsia="仿宋_GB2312" w:hAnsi="宋体" w:cs="宋体" w:hint="eastAsia"/>
          <w:kern w:val="0"/>
          <w:sz w:val="32"/>
          <w:szCs w:val="32"/>
        </w:rPr>
      </w:pPr>
      <w:r>
        <w:rPr>
          <w:rFonts w:eastAsia="仿宋_GB2312" w:hAnsi="宋体" w:cs="宋体" w:hint="eastAsia"/>
          <w:kern w:val="0"/>
          <w:sz w:val="32"/>
          <w:szCs w:val="32"/>
        </w:rPr>
        <w:t>在基层</w:t>
      </w:r>
      <w:proofErr w:type="gramStart"/>
      <w:r>
        <w:rPr>
          <w:rFonts w:eastAsia="仿宋_GB2312" w:hAnsi="宋体" w:cs="宋体" w:hint="eastAsia"/>
          <w:kern w:val="0"/>
          <w:sz w:val="32"/>
          <w:szCs w:val="32"/>
        </w:rPr>
        <w:t>作出</w:t>
      </w:r>
      <w:proofErr w:type="gramEnd"/>
      <w:r>
        <w:rPr>
          <w:rFonts w:eastAsia="仿宋_GB2312" w:hAnsi="宋体" w:cs="宋体" w:hint="eastAsia"/>
          <w:kern w:val="0"/>
          <w:sz w:val="32"/>
          <w:szCs w:val="32"/>
        </w:rPr>
        <w:t>突出贡献的专业技术人才，可破格参加职称评审。获省政府或国家部委专业技术工作表彰奖励的，可不受学历限制，并且提前</w:t>
      </w:r>
      <w:r>
        <w:rPr>
          <w:rFonts w:eastAsia="仿宋_GB2312" w:hAnsi="宋体" w:cs="宋体" w:hint="eastAsia"/>
          <w:kern w:val="0"/>
          <w:sz w:val="32"/>
          <w:szCs w:val="32"/>
        </w:rPr>
        <w:t>2</w:t>
      </w:r>
      <w:r>
        <w:rPr>
          <w:rFonts w:eastAsia="仿宋_GB2312" w:hAnsi="宋体" w:cs="宋体" w:hint="eastAsia"/>
          <w:kern w:val="0"/>
          <w:sz w:val="32"/>
          <w:szCs w:val="32"/>
        </w:rPr>
        <w:t>年申报高级工程师职称资格。</w:t>
      </w:r>
    </w:p>
    <w:p w:rsidR="00892EFB" w:rsidRDefault="00892EFB" w:rsidP="00892EFB">
      <w:pPr>
        <w:spacing w:line="520" w:lineRule="exact"/>
        <w:ind w:firstLineChars="200" w:firstLine="640"/>
        <w:jc w:val="left"/>
        <w:rPr>
          <w:rFonts w:eastAsia="仿宋_GB2312" w:hAnsi="宋体" w:cs="宋体" w:hint="eastAsia"/>
          <w:kern w:val="0"/>
          <w:sz w:val="32"/>
          <w:szCs w:val="32"/>
        </w:rPr>
      </w:pPr>
      <w:r>
        <w:rPr>
          <w:rFonts w:eastAsia="仿宋_GB2312" w:hAnsi="宋体" w:cs="宋体" w:hint="eastAsia"/>
          <w:kern w:val="0"/>
          <w:sz w:val="32"/>
          <w:szCs w:val="32"/>
        </w:rPr>
        <w:t>通过双向挂职、对口支援、短期工作、项目合作、兼职等方式选派到基层创新创业和开展服务活动的专业技术人才，职称任职时间连续计算，在基层的工作经历和业绩作为优先晋升职称的重要依据。</w:t>
      </w:r>
    </w:p>
    <w:p w:rsidR="00892EFB" w:rsidRDefault="00892EFB" w:rsidP="00892EFB">
      <w:pPr>
        <w:spacing w:line="520" w:lineRule="exact"/>
        <w:ind w:firstLineChars="200" w:firstLine="640"/>
        <w:jc w:val="left"/>
        <w:rPr>
          <w:rFonts w:eastAsia="仿宋_GB2312" w:hAnsi="宋体" w:cs="宋体" w:hint="eastAsia"/>
          <w:kern w:val="0"/>
          <w:sz w:val="32"/>
          <w:szCs w:val="32"/>
        </w:rPr>
      </w:pPr>
      <w:r>
        <w:rPr>
          <w:rFonts w:eastAsia="仿宋_GB2312"/>
          <w:sz w:val="32"/>
          <w:szCs w:val="32"/>
        </w:rPr>
        <w:t>汉台区、南郑区不享受基层倾斜政策</w:t>
      </w:r>
      <w:r>
        <w:rPr>
          <w:rFonts w:eastAsia="仿宋_GB2312" w:hint="eastAsia"/>
          <w:sz w:val="32"/>
          <w:szCs w:val="32"/>
        </w:rPr>
        <w:t>。</w:t>
      </w:r>
      <w:r>
        <w:rPr>
          <w:rFonts w:ascii="仿宋_GB2312" w:eastAsia="仿宋_GB2312" w:hAnsi="仿宋_GB2312" w:cs="仿宋_GB2312" w:hint="eastAsia"/>
          <w:sz w:val="32"/>
          <w:szCs w:val="32"/>
        </w:rPr>
        <w:t>“</w:t>
      </w:r>
      <w:r>
        <w:rPr>
          <w:rFonts w:eastAsia="仿宋_GB2312" w:hAnsi="宋体" w:cs="宋体" w:hint="eastAsia"/>
          <w:kern w:val="0"/>
          <w:sz w:val="32"/>
          <w:szCs w:val="32"/>
        </w:rPr>
        <w:t>乡镇</w:t>
      </w:r>
      <w:r>
        <w:rPr>
          <w:rFonts w:ascii="仿宋_GB2312" w:eastAsia="仿宋_GB2312" w:hAnsi="仿宋_GB2312" w:cs="仿宋_GB2312" w:hint="eastAsia"/>
          <w:sz w:val="32"/>
          <w:szCs w:val="32"/>
        </w:rPr>
        <w:t>”</w:t>
      </w:r>
      <w:r>
        <w:rPr>
          <w:rFonts w:eastAsia="仿宋_GB2312" w:hAnsi="宋体" w:cs="宋体" w:hint="eastAsia"/>
          <w:kern w:val="0"/>
          <w:sz w:val="32"/>
          <w:szCs w:val="32"/>
        </w:rPr>
        <w:t>指含乡镇撤并后的农村社区，不含街道。</w:t>
      </w:r>
    </w:p>
    <w:p w:rsidR="00892EFB" w:rsidRDefault="00892EFB" w:rsidP="00892EFB">
      <w:pPr>
        <w:adjustRightInd w:val="0"/>
        <w:spacing w:line="520" w:lineRule="exact"/>
        <w:ind w:rightChars="12" w:right="25" w:firstLineChars="200" w:firstLine="640"/>
        <w:jc w:val="left"/>
        <w:rPr>
          <w:rFonts w:eastAsia="仿宋_GB2312" w:hAnsi="宋体" w:cs="宋体" w:hint="eastAsia"/>
          <w:kern w:val="0"/>
          <w:sz w:val="32"/>
          <w:szCs w:val="32"/>
        </w:rPr>
      </w:pPr>
    </w:p>
    <w:p w:rsidR="00892EFB" w:rsidRDefault="00892EFB" w:rsidP="00892EFB">
      <w:pPr>
        <w:adjustRightInd w:val="0"/>
        <w:spacing w:line="520" w:lineRule="exact"/>
        <w:ind w:rightChars="12" w:right="25" w:firstLineChars="200" w:firstLine="640"/>
        <w:jc w:val="left"/>
        <w:rPr>
          <w:rFonts w:eastAsia="仿宋_GB2312" w:hAnsi="宋体" w:cs="宋体" w:hint="eastAsia"/>
          <w:kern w:val="0"/>
          <w:sz w:val="32"/>
          <w:szCs w:val="32"/>
        </w:rPr>
      </w:pPr>
    </w:p>
    <w:p w:rsidR="00892EFB" w:rsidRDefault="00892EFB" w:rsidP="00892EFB">
      <w:pPr>
        <w:adjustRightInd w:val="0"/>
        <w:spacing w:line="520" w:lineRule="exact"/>
        <w:ind w:rightChars="12" w:right="25" w:firstLineChars="200" w:firstLine="640"/>
        <w:jc w:val="left"/>
        <w:rPr>
          <w:rFonts w:eastAsia="仿宋_GB2312" w:hAnsi="宋体" w:cs="宋体" w:hint="eastAsia"/>
          <w:kern w:val="0"/>
          <w:sz w:val="32"/>
          <w:szCs w:val="32"/>
        </w:rPr>
      </w:pPr>
    </w:p>
    <w:p w:rsidR="00892EFB" w:rsidRDefault="00892EFB" w:rsidP="00892EFB">
      <w:pPr>
        <w:adjustRightInd w:val="0"/>
        <w:spacing w:line="520" w:lineRule="exact"/>
        <w:ind w:rightChars="12" w:right="25" w:firstLineChars="200" w:firstLine="640"/>
        <w:jc w:val="left"/>
        <w:rPr>
          <w:rFonts w:eastAsia="仿宋_GB2312" w:hAnsi="宋体" w:cs="宋体" w:hint="eastAsia"/>
          <w:kern w:val="0"/>
          <w:sz w:val="32"/>
          <w:szCs w:val="32"/>
        </w:rPr>
      </w:pPr>
    </w:p>
    <w:p w:rsidR="00892EFB" w:rsidRDefault="00892EFB" w:rsidP="00892EFB">
      <w:pPr>
        <w:adjustRightInd w:val="0"/>
        <w:spacing w:line="520" w:lineRule="exact"/>
        <w:ind w:rightChars="12" w:right="25" w:firstLineChars="200" w:firstLine="640"/>
        <w:jc w:val="left"/>
        <w:rPr>
          <w:rFonts w:eastAsia="仿宋_GB2312" w:hAnsi="宋体" w:cs="宋体" w:hint="eastAsia"/>
          <w:kern w:val="0"/>
          <w:sz w:val="32"/>
          <w:szCs w:val="32"/>
        </w:rPr>
      </w:pPr>
    </w:p>
    <w:p w:rsidR="00892EFB" w:rsidRDefault="00892EFB" w:rsidP="00892EFB">
      <w:pPr>
        <w:adjustRightInd w:val="0"/>
        <w:spacing w:line="520" w:lineRule="exact"/>
        <w:ind w:rightChars="12" w:right="25" w:firstLineChars="200" w:firstLine="640"/>
        <w:jc w:val="left"/>
        <w:rPr>
          <w:rFonts w:eastAsia="仿宋_GB2312" w:hAnsi="宋体" w:cs="宋体" w:hint="eastAsia"/>
          <w:kern w:val="0"/>
          <w:sz w:val="32"/>
          <w:szCs w:val="32"/>
        </w:rPr>
      </w:pPr>
    </w:p>
    <w:p w:rsidR="00E24C4F" w:rsidRPr="00892EFB" w:rsidRDefault="00E24C4F"/>
    <w:sectPr w:rsidR="00E24C4F" w:rsidRPr="00892EFB" w:rsidSect="00E24C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3D4" w:rsidRDefault="003263D4" w:rsidP="00892EFB">
      <w:r>
        <w:separator/>
      </w:r>
    </w:p>
  </w:endnote>
  <w:endnote w:type="continuationSeparator" w:id="0">
    <w:p w:rsidR="003263D4" w:rsidRDefault="003263D4" w:rsidP="00892EFB">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3D4" w:rsidRDefault="003263D4" w:rsidP="00892EFB">
      <w:r>
        <w:separator/>
      </w:r>
    </w:p>
  </w:footnote>
  <w:footnote w:type="continuationSeparator" w:id="0">
    <w:p w:rsidR="003263D4" w:rsidRDefault="003263D4" w:rsidP="00892E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2EFB"/>
    <w:rsid w:val="003263D4"/>
    <w:rsid w:val="00892EFB"/>
    <w:rsid w:val="0095755D"/>
    <w:rsid w:val="00E24C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EFB"/>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2E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92EFB"/>
    <w:rPr>
      <w:sz w:val="18"/>
      <w:szCs w:val="18"/>
    </w:rPr>
  </w:style>
  <w:style w:type="paragraph" w:styleId="a4">
    <w:name w:val="footer"/>
    <w:basedOn w:val="a"/>
    <w:link w:val="Char0"/>
    <w:uiPriority w:val="99"/>
    <w:semiHidden/>
    <w:unhideWhenUsed/>
    <w:rsid w:val="00892E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92EF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2022-11-16T09:40:00Z</dcterms:created>
  <dcterms:modified xsi:type="dcterms:W3CDTF">2022-11-16T09:40:00Z</dcterms:modified>
</cp:coreProperties>
</file>