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980"/>
        <w:gridCol w:w="874"/>
        <w:gridCol w:w="972"/>
        <w:gridCol w:w="1045"/>
        <w:gridCol w:w="815"/>
        <w:gridCol w:w="966"/>
        <w:gridCol w:w="980"/>
        <w:gridCol w:w="986"/>
        <w:gridCol w:w="986"/>
        <w:gridCol w:w="819"/>
        <w:gridCol w:w="1024"/>
        <w:gridCol w:w="851"/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4049" w:type="dxa"/>
            <w:gridSpan w:val="1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>陕西省机关事业单位工勤技能岗位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eastAsia="zh-CN" w:bidi="ar"/>
              </w:rPr>
              <w:t>技术等级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36"/>
                <w:szCs w:val="36"/>
                <w:lang w:bidi="ar"/>
              </w:rPr>
              <w:t>非统考工种考核收费标准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617" w:type="dxa"/>
            <w:vMerge w:val="restart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工种名称</w:t>
            </w:r>
          </w:p>
        </w:tc>
        <w:tc>
          <w:tcPr>
            <w:tcW w:w="12432" w:type="dxa"/>
            <w:gridSpan w:val="13"/>
            <w:tcBorders>
              <w:top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考核费用（元/人）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82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初级工</w:t>
            </w:r>
          </w:p>
        </w:tc>
        <w:tc>
          <w:tcPr>
            <w:tcW w:w="2826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  <w:lang w:eastAsia="zh-CN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级工</w:t>
            </w:r>
          </w:p>
        </w:tc>
        <w:tc>
          <w:tcPr>
            <w:tcW w:w="2952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高级工</w:t>
            </w:r>
          </w:p>
        </w:tc>
        <w:tc>
          <w:tcPr>
            <w:tcW w:w="3828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技师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专业理论</w:t>
            </w:r>
          </w:p>
        </w:tc>
        <w:tc>
          <w:tcPr>
            <w:tcW w:w="8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职业道德</w:t>
            </w:r>
          </w:p>
        </w:tc>
        <w:tc>
          <w:tcPr>
            <w:tcW w:w="9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技能</w:t>
            </w:r>
          </w:p>
        </w:tc>
        <w:tc>
          <w:tcPr>
            <w:tcW w:w="10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理论</w:t>
            </w:r>
          </w:p>
        </w:tc>
        <w:tc>
          <w:tcPr>
            <w:tcW w:w="8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道德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技能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理论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道德</w:t>
            </w:r>
          </w:p>
        </w:tc>
        <w:tc>
          <w:tcPr>
            <w:tcW w:w="9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技能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理论</w:t>
            </w:r>
          </w:p>
        </w:tc>
        <w:tc>
          <w:tcPr>
            <w:tcW w:w="10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技能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评审费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水利水电工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9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100</w:t>
            </w:r>
          </w:p>
        </w:tc>
        <w:tc>
          <w:tcPr>
            <w:tcW w:w="10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150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98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250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地籍测量工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87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97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104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81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96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100</w:t>
            </w:r>
          </w:p>
        </w:tc>
        <w:tc>
          <w:tcPr>
            <w:tcW w:w="9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98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98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150</w:t>
            </w:r>
          </w:p>
        </w:tc>
        <w:tc>
          <w:tcPr>
            <w:tcW w:w="81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10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50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250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水利维护工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16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农业养殖工</w:t>
            </w: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7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topLinePunct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2426" w:right="178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TJhZjhjOTNkMzg0MmMxNTEyYTQxZTYwMDA3YTkifQ=="/>
  </w:docVars>
  <w:rsids>
    <w:rsidRoot w:val="00000000"/>
    <w:rsid w:val="00F83093"/>
    <w:rsid w:val="011E0355"/>
    <w:rsid w:val="0140582A"/>
    <w:rsid w:val="01DB1959"/>
    <w:rsid w:val="024142DA"/>
    <w:rsid w:val="03915A57"/>
    <w:rsid w:val="047F5B65"/>
    <w:rsid w:val="04ED1625"/>
    <w:rsid w:val="05687AB3"/>
    <w:rsid w:val="05CB34D7"/>
    <w:rsid w:val="061F349A"/>
    <w:rsid w:val="0692223A"/>
    <w:rsid w:val="09824EE3"/>
    <w:rsid w:val="09B13520"/>
    <w:rsid w:val="0AF07217"/>
    <w:rsid w:val="0D601278"/>
    <w:rsid w:val="10841250"/>
    <w:rsid w:val="10F81131"/>
    <w:rsid w:val="11940C69"/>
    <w:rsid w:val="127446F4"/>
    <w:rsid w:val="13262D5A"/>
    <w:rsid w:val="137E6CE1"/>
    <w:rsid w:val="141247AF"/>
    <w:rsid w:val="1431096C"/>
    <w:rsid w:val="1506410A"/>
    <w:rsid w:val="1555656E"/>
    <w:rsid w:val="155F7B87"/>
    <w:rsid w:val="15F40FFA"/>
    <w:rsid w:val="18003581"/>
    <w:rsid w:val="18655223"/>
    <w:rsid w:val="1AB04AC3"/>
    <w:rsid w:val="1AC97EB7"/>
    <w:rsid w:val="1BDB416F"/>
    <w:rsid w:val="1CB247C3"/>
    <w:rsid w:val="1D1F7F9C"/>
    <w:rsid w:val="1D6A2941"/>
    <w:rsid w:val="1D82250E"/>
    <w:rsid w:val="1EC907DF"/>
    <w:rsid w:val="1FF97519"/>
    <w:rsid w:val="208637B5"/>
    <w:rsid w:val="21D3763A"/>
    <w:rsid w:val="21E74E80"/>
    <w:rsid w:val="2434094C"/>
    <w:rsid w:val="26BD592F"/>
    <w:rsid w:val="286D0C23"/>
    <w:rsid w:val="2BA41300"/>
    <w:rsid w:val="2CA8142E"/>
    <w:rsid w:val="2D9B6CD0"/>
    <w:rsid w:val="2E0F0081"/>
    <w:rsid w:val="2EEB6D55"/>
    <w:rsid w:val="32A568D9"/>
    <w:rsid w:val="32C94815"/>
    <w:rsid w:val="34241ED8"/>
    <w:rsid w:val="344C77CC"/>
    <w:rsid w:val="35B11B15"/>
    <w:rsid w:val="35E74D3E"/>
    <w:rsid w:val="36B310EA"/>
    <w:rsid w:val="386A4153"/>
    <w:rsid w:val="38C37E7D"/>
    <w:rsid w:val="39783C98"/>
    <w:rsid w:val="3AB42BDA"/>
    <w:rsid w:val="3AF91B1F"/>
    <w:rsid w:val="3AFF17C4"/>
    <w:rsid w:val="3BEE0321"/>
    <w:rsid w:val="3CAF0283"/>
    <w:rsid w:val="3F240CAD"/>
    <w:rsid w:val="3F313230"/>
    <w:rsid w:val="401E278D"/>
    <w:rsid w:val="41C14D42"/>
    <w:rsid w:val="42D60C23"/>
    <w:rsid w:val="4593048F"/>
    <w:rsid w:val="46496B01"/>
    <w:rsid w:val="482A0B3D"/>
    <w:rsid w:val="49090C5A"/>
    <w:rsid w:val="49546425"/>
    <w:rsid w:val="499B6F20"/>
    <w:rsid w:val="4B0728D7"/>
    <w:rsid w:val="4B3D5C8D"/>
    <w:rsid w:val="4B6444D1"/>
    <w:rsid w:val="4BA56DBA"/>
    <w:rsid w:val="4C815486"/>
    <w:rsid w:val="4CB4650E"/>
    <w:rsid w:val="4CB97E2D"/>
    <w:rsid w:val="4F534FB4"/>
    <w:rsid w:val="50D96510"/>
    <w:rsid w:val="50FD3AEA"/>
    <w:rsid w:val="519B25EE"/>
    <w:rsid w:val="520868A1"/>
    <w:rsid w:val="52453B8D"/>
    <w:rsid w:val="526136BD"/>
    <w:rsid w:val="54B501BD"/>
    <w:rsid w:val="55412895"/>
    <w:rsid w:val="55464D13"/>
    <w:rsid w:val="56043B1D"/>
    <w:rsid w:val="56BC105A"/>
    <w:rsid w:val="56EC3028"/>
    <w:rsid w:val="5C132E95"/>
    <w:rsid w:val="5FDE70BC"/>
    <w:rsid w:val="617A43D7"/>
    <w:rsid w:val="677453B4"/>
    <w:rsid w:val="689E67F1"/>
    <w:rsid w:val="68DD3D65"/>
    <w:rsid w:val="6979329C"/>
    <w:rsid w:val="69C85305"/>
    <w:rsid w:val="6A49408A"/>
    <w:rsid w:val="6A876901"/>
    <w:rsid w:val="6B652DE3"/>
    <w:rsid w:val="6B8E3ADC"/>
    <w:rsid w:val="6BF306F6"/>
    <w:rsid w:val="6C953072"/>
    <w:rsid w:val="6CB26722"/>
    <w:rsid w:val="6D06605F"/>
    <w:rsid w:val="6E2721EF"/>
    <w:rsid w:val="6E463339"/>
    <w:rsid w:val="6F130189"/>
    <w:rsid w:val="6F667523"/>
    <w:rsid w:val="705D79A3"/>
    <w:rsid w:val="726A372E"/>
    <w:rsid w:val="72AC70CB"/>
    <w:rsid w:val="73F16EC0"/>
    <w:rsid w:val="75CA39EF"/>
    <w:rsid w:val="76FA1628"/>
    <w:rsid w:val="7A5F6428"/>
    <w:rsid w:val="7AA50061"/>
    <w:rsid w:val="7C1B54FC"/>
    <w:rsid w:val="7C524B72"/>
    <w:rsid w:val="7D7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187</Characters>
  <Lines>0</Lines>
  <Paragraphs>0</Paragraphs>
  <TotalTime>10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2020-10-12T06:40:00Z</dcterms:created>
  <dc:creator>Administrator</dc:creator>
  <cp:lastModifiedBy>Administrator</cp:lastModifiedBy>
  <cp:lastPrinted>2020-10-15T07:30:00Z</cp:lastPrinted>
  <dcterms:modified xsi:type="dcterms:W3CDTF">2024-05-20T03:22:48Z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8E9D390750444C9496900A8418EC76D2_13</vt:lpwstr>
  </property>
</Properties>
</file>